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4C5080" w:rsidRPr="004C5080" w:rsidTr="004C5080">
        <w:tc>
          <w:tcPr>
            <w:tcW w:w="2716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Трусово</w:t>
            </w:r>
            <w:proofErr w:type="spellEnd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6455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«Трусов»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 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овмöдчöминса</w:t>
            </w:r>
            <w:proofErr w:type="spellEnd"/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5080" w:rsidRPr="004C5080" w:rsidTr="004C5080">
        <w:tc>
          <w:tcPr>
            <w:tcW w:w="2716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5080" w:rsidRPr="004C5080" w:rsidTr="004C5080">
        <w:tc>
          <w:tcPr>
            <w:tcW w:w="2716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5080" w:rsidRPr="004C5080" w:rsidTr="004C5080">
        <w:tc>
          <w:tcPr>
            <w:tcW w:w="2716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5080" w:rsidRDefault="00EA75F6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(в</w:t>
      </w:r>
      <w:r w:rsidRPr="00EA75F6">
        <w:rPr>
          <w:rFonts w:ascii="Times New Roman" w:hAnsi="Times New Roman" w:cs="Times New Roman"/>
          <w:bCs/>
          <w:i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постановлений:</w:t>
      </w:r>
      <w:proofErr w:type="gramEnd"/>
    </w:p>
    <w:p w:rsidR="00EA75F6" w:rsidRDefault="00EA75F6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 от 26 марта 2019 г.№ 11)</w:t>
      </w:r>
    </w:p>
    <w:p w:rsidR="00EA75F6" w:rsidRPr="00EA75F6" w:rsidRDefault="00EA75F6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4C5080" w:rsidRPr="004C5080" w:rsidTr="004C508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5080" w:rsidRPr="004C5080" w:rsidRDefault="00250F1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F7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  марта</w:t>
            </w:r>
            <w:r w:rsid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F7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C508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с. 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Трусово</w:t>
            </w:r>
            <w:proofErr w:type="spellEnd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Усть-Цилемского</w:t>
            </w:r>
            <w:proofErr w:type="spellEnd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р-на  Республики Коми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F610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ередач</w:t>
            </w:r>
            <w:r w:rsidR="007F610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имущества в аренду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5080" w:rsidRPr="004C5080" w:rsidRDefault="00250F1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4C5080" w:rsidRPr="004C5080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4C5080" w:rsidRPr="004C5080">
        <w:rPr>
          <w:rFonts w:ascii="Times New Roman" w:hAnsi="Times New Roman" w:cs="Times New Roman"/>
          <w:bCs/>
          <w:sz w:val="28"/>
          <w:szCs w:val="28"/>
        </w:rPr>
        <w:br/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75F6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EA75F6" w:rsidRPr="00EA75F6">
        <w:rPr>
          <w:rFonts w:ascii="Times New Roman" w:hAnsi="Times New Roman" w:cs="Times New Roman"/>
          <w:bCs/>
          <w:sz w:val="28"/>
          <w:szCs w:val="28"/>
        </w:rPr>
        <w:t xml:space="preserve">«В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Коми от 29 ноября 2011 г. N 532 "О разработке и утверждении административных регламентов", </w:t>
      </w:r>
      <w:hyperlink r:id="rId10" w:history="1">
        <w:r w:rsidR="00EA75F6" w:rsidRPr="00EA75F6">
          <w:rPr>
            <w:rStyle w:val="a6"/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EA75F6" w:rsidRPr="00EA75F6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</w:t>
      </w:r>
      <w:proofErr w:type="spellStart"/>
      <w:r w:rsidR="00EA75F6" w:rsidRPr="00EA75F6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="00EA75F6" w:rsidRPr="00EA75F6">
        <w:rPr>
          <w:rFonts w:ascii="Times New Roman" w:hAnsi="Times New Roman" w:cs="Times New Roman"/>
          <w:bCs/>
          <w:sz w:val="28"/>
          <w:szCs w:val="28"/>
        </w:rPr>
        <w:t>» от 31 октября 2011 года N 55 "Об утверждении порядка разработки и утверждении административных регламентов"</w:t>
      </w:r>
      <w:r w:rsidRPr="004C508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4C5080" w:rsidRPr="00EA75F6" w:rsidRDefault="00EA75F6" w:rsidP="00EA75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(преамбула </w:t>
      </w: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EA75F6">
        <w:rPr>
          <w:rFonts w:ascii="Times New Roman" w:hAnsi="Times New Roman" w:cs="Times New Roman"/>
          <w:bCs/>
          <w:i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от 26 марта 2019 г.№ 11)</w:t>
      </w:r>
      <w:r w:rsidR="004C5080" w:rsidRPr="004C50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F610F">
        <w:rPr>
          <w:rFonts w:ascii="Times New Roman" w:hAnsi="Times New Roman" w:cs="Times New Roman"/>
          <w:bCs/>
          <w:sz w:val="28"/>
          <w:szCs w:val="28"/>
        </w:rPr>
        <w:t>П</w:t>
      </w:r>
      <w:r w:rsidRPr="004C5080">
        <w:rPr>
          <w:rFonts w:ascii="Times New Roman" w:hAnsi="Times New Roman" w:cs="Times New Roman"/>
          <w:bCs/>
          <w:sz w:val="28"/>
          <w:szCs w:val="28"/>
        </w:rPr>
        <w:t>ередач</w:t>
      </w:r>
      <w:r w:rsidR="007F610F">
        <w:rPr>
          <w:rFonts w:ascii="Times New Roman" w:hAnsi="Times New Roman" w:cs="Times New Roman"/>
          <w:bCs/>
          <w:sz w:val="28"/>
          <w:szCs w:val="28"/>
        </w:rPr>
        <w:t>а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в аренду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11223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читать утратившими силу 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23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  <w:r w:rsidR="004C49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="004C49F5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="004C49F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от 06</w:t>
      </w:r>
      <w:r w:rsidR="004F7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 2012 г. № 49 «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C5080">
        <w:rPr>
          <w:rFonts w:ascii="Times New Roman" w:hAnsi="Times New Roman" w:cs="Times New Roman"/>
          <w:bCs/>
          <w:sz w:val="28"/>
          <w:szCs w:val="28"/>
        </w:rPr>
        <w:t>о передаче муниципального имущества в аренду»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1223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22 октября </w:t>
      </w:r>
      <w:r w:rsidR="004F7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2013 г. № 75 </w:t>
      </w:r>
      <w:r w:rsidR="00112232">
        <w:rPr>
          <w:rFonts w:ascii="Times New Roman" w:hAnsi="Times New Roman" w:cs="Times New Roman"/>
          <w:bCs/>
          <w:sz w:val="28"/>
          <w:szCs w:val="28"/>
        </w:rPr>
        <w:t>«</w:t>
      </w:r>
      <w:r w:rsidR="007F610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7F610F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="007F61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F610F" w:rsidRPr="007F610F">
        <w:rPr>
          <w:rFonts w:ascii="Times New Roman" w:hAnsi="Times New Roman" w:cs="Times New Roman"/>
          <w:bCs/>
          <w:sz w:val="28"/>
          <w:szCs w:val="28"/>
        </w:rPr>
        <w:t xml:space="preserve">от 06 августа 2012 года № </w:t>
      </w:r>
      <w:r w:rsidR="007F610F" w:rsidRPr="007F610F">
        <w:rPr>
          <w:rFonts w:ascii="Times New Roman" w:hAnsi="Times New Roman" w:cs="Times New Roman"/>
          <w:bCs/>
          <w:sz w:val="28"/>
          <w:szCs w:val="28"/>
        </w:rPr>
        <w:lastRenderedPageBreak/>
        <w:t>49 «Об утверждении административного регламента предоставления муниципальной услуги  по передаче муниципального имущества в аренду»</w:t>
      </w:r>
      <w:r w:rsidR="001122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080" w:rsidRPr="004C5080" w:rsidRDefault="004C5080" w:rsidP="00112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 xml:space="preserve">3.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Pr="004C5080">
        <w:rPr>
          <w:rFonts w:ascii="Times New Roman" w:hAnsi="Times New Roman" w:cs="Times New Roman"/>
          <w:bCs/>
          <w:sz w:val="28"/>
          <w:szCs w:val="28"/>
        </w:rPr>
        <w:t>» и вступает в силу со дня обнародования.</w:t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</w: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5"/>
        <w:tblW w:w="9648" w:type="dxa"/>
        <w:tblLook w:val="01E0" w:firstRow="1" w:lastRow="1" w:firstColumn="1" w:lastColumn="1" w:noHBand="0" w:noVBand="0"/>
      </w:tblPr>
      <w:tblGrid>
        <w:gridCol w:w="7128"/>
        <w:gridCol w:w="2520"/>
      </w:tblGrid>
      <w:tr w:rsidR="004C5080" w:rsidRPr="004C5080" w:rsidTr="004C5080">
        <w:tc>
          <w:tcPr>
            <w:tcW w:w="7128" w:type="dxa"/>
          </w:tcPr>
          <w:p w:rsidR="00250F10" w:rsidRDefault="004F719D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50F10">
              <w:rPr>
                <w:rFonts w:ascii="Times New Roman" w:hAnsi="Times New Roman" w:cs="Times New Roman"/>
                <w:bCs/>
                <w:sz w:val="28"/>
                <w:szCs w:val="28"/>
              </w:rPr>
              <w:t>И. о. г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 w:rsidR="00250F10">
              <w:rPr>
                <w:rFonts w:ascii="Times New Roman" w:hAnsi="Times New Roman" w:cs="Times New Roman"/>
                <w:bCs/>
                <w:sz w:val="28"/>
                <w:szCs w:val="28"/>
              </w:rPr>
              <w:t>ы администрации</w:t>
            </w:r>
          </w:p>
          <w:p w:rsidR="004C5080" w:rsidRPr="004C5080" w:rsidRDefault="004F719D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</w:t>
            </w:r>
            <w:proofErr w:type="spellStart"/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Трусово</w:t>
            </w:r>
            <w:proofErr w:type="spellEnd"/>
            <w:r w:rsidR="004C5080"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250F10" w:rsidRDefault="00250F1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5080" w:rsidRPr="004C5080" w:rsidRDefault="004F719D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C5080">
              <w:rPr>
                <w:rFonts w:ascii="Times New Roman" w:hAnsi="Times New Roman" w:cs="Times New Roman"/>
                <w:bCs/>
                <w:sz w:val="28"/>
                <w:szCs w:val="28"/>
              </w:rPr>
              <w:t>Е.</w:t>
            </w:r>
            <w:r w:rsidR="00250F10">
              <w:rPr>
                <w:rFonts w:ascii="Times New Roman" w:hAnsi="Times New Roman" w:cs="Times New Roman"/>
                <w:bCs/>
                <w:sz w:val="28"/>
                <w:szCs w:val="28"/>
              </w:rPr>
              <w:t>И. Гущина</w:t>
            </w:r>
          </w:p>
          <w:p w:rsidR="004C5080" w:rsidRP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4C5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P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764" w:rsidRDefault="00601764" w:rsidP="00601764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</w:p>
    <w:p w:rsidR="007F610F" w:rsidRPr="007F610F" w:rsidRDefault="007F610F" w:rsidP="00601764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7F610F">
        <w:rPr>
          <w:rFonts w:ascii="Times New Roman" w:hAnsi="Times New Roman" w:cs="Times New Roman"/>
          <w:sz w:val="24"/>
          <w:szCs w:val="24"/>
        </w:rPr>
        <w:t>Приложение</w:t>
      </w:r>
    </w:p>
    <w:p w:rsidR="007F610F" w:rsidRPr="007F610F" w:rsidRDefault="007F610F" w:rsidP="007F610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7F61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F610F" w:rsidRPr="007F610F" w:rsidRDefault="007F610F" w:rsidP="007F610F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7F610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F610F">
        <w:rPr>
          <w:rFonts w:ascii="Times New Roman" w:hAnsi="Times New Roman" w:cs="Times New Roman"/>
          <w:sz w:val="24"/>
          <w:szCs w:val="24"/>
        </w:rPr>
        <w:t>Трусово</w:t>
      </w:r>
      <w:proofErr w:type="spellEnd"/>
      <w:r w:rsidRPr="007F610F">
        <w:rPr>
          <w:rFonts w:ascii="Times New Roman" w:hAnsi="Times New Roman" w:cs="Times New Roman"/>
          <w:sz w:val="24"/>
          <w:szCs w:val="24"/>
        </w:rPr>
        <w:t>»</w:t>
      </w:r>
    </w:p>
    <w:p w:rsidR="007F610F" w:rsidRPr="007F610F" w:rsidRDefault="007F610F" w:rsidP="007F610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50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610F">
        <w:rPr>
          <w:rFonts w:ascii="Times New Roman" w:hAnsi="Times New Roman" w:cs="Times New Roman"/>
          <w:sz w:val="24"/>
          <w:szCs w:val="24"/>
        </w:rPr>
        <w:t>от</w:t>
      </w:r>
      <w:r w:rsidR="004C49F5">
        <w:rPr>
          <w:rFonts w:ascii="Times New Roman" w:hAnsi="Times New Roman" w:cs="Times New Roman"/>
          <w:sz w:val="24"/>
          <w:szCs w:val="24"/>
        </w:rPr>
        <w:t xml:space="preserve"> </w:t>
      </w:r>
      <w:r w:rsidR="00250F10">
        <w:rPr>
          <w:rFonts w:ascii="Times New Roman" w:hAnsi="Times New Roman" w:cs="Times New Roman"/>
          <w:sz w:val="24"/>
          <w:szCs w:val="24"/>
        </w:rPr>
        <w:t xml:space="preserve">14 марта </w:t>
      </w:r>
      <w:r w:rsidRPr="007F610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49F5">
        <w:rPr>
          <w:rFonts w:ascii="Times New Roman" w:hAnsi="Times New Roman" w:cs="Times New Roman"/>
          <w:sz w:val="24"/>
          <w:szCs w:val="24"/>
        </w:rPr>
        <w:t xml:space="preserve"> г. </w:t>
      </w:r>
      <w:r w:rsidRPr="007F610F">
        <w:rPr>
          <w:rFonts w:ascii="Times New Roman" w:hAnsi="Times New Roman" w:cs="Times New Roman"/>
          <w:sz w:val="24"/>
          <w:szCs w:val="24"/>
        </w:rPr>
        <w:t xml:space="preserve"> </w:t>
      </w:r>
      <w:r w:rsidR="00250F10">
        <w:rPr>
          <w:rFonts w:ascii="Times New Roman" w:hAnsi="Times New Roman" w:cs="Times New Roman"/>
          <w:sz w:val="24"/>
          <w:szCs w:val="24"/>
        </w:rPr>
        <w:t>№  04</w:t>
      </w: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80" w:rsidRDefault="004C508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4C4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F610F" w:rsidRDefault="0096112B" w:rsidP="004C4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Start w:id="0" w:name="Par53"/>
      <w:bookmarkEnd w:id="0"/>
    </w:p>
    <w:p w:rsidR="007F610F" w:rsidRPr="004C49F5" w:rsidRDefault="004C49F5" w:rsidP="004C4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«</w:t>
      </w:r>
      <w:r w:rsidR="007F610F" w:rsidRPr="004C49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Передача муниципального имущества в аренду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C9548E" w:rsidRDefault="00C9548E" w:rsidP="004C49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C5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9F5" w:rsidRPr="004C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4C5080" w:rsidRPr="004C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ередач</w:t>
      </w:r>
      <w:r w:rsidR="004C49F5" w:rsidRPr="004C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4C5080" w:rsidRPr="004C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имущества в аренду»</w:t>
      </w:r>
      <w:r w:rsidR="004C5080" w:rsidRPr="004C49F5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C508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«</w:t>
      </w:r>
      <w:proofErr w:type="spellStart"/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>Трусово</w:t>
      </w:r>
      <w:proofErr w:type="spellEnd"/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610F" w:rsidRPr="00573AF5" w:rsidRDefault="003D59FD" w:rsidP="0057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73AF5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7F610F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</w:t>
      </w:r>
      <w:r w:rsidR="00573AF5" w:rsidRPr="00573A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числе, индивидуальные предприниматели)</w:t>
      </w:r>
      <w:r w:rsidR="007F610F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юридические лица.</w:t>
      </w:r>
    </w:p>
    <w:p w:rsidR="0096112B" w:rsidRPr="00083D82" w:rsidRDefault="00573AF5" w:rsidP="00573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D59FD"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7F610F" w:rsidRPr="00573AF5" w:rsidRDefault="003D59FD" w:rsidP="007F6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C49F5">
        <w:rPr>
          <w:rFonts w:ascii="Times New Roman" w:hAnsi="Times New Roman" w:cs="Times New Roman"/>
          <w:sz w:val="28"/>
          <w:szCs w:val="28"/>
        </w:rPr>
        <w:t>«П</w:t>
      </w:r>
      <w:r w:rsidR="007F610F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ередача муниципального имущества в аренду</w:t>
      </w:r>
      <w:r w:rsidR="004C49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F610F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202B" w:rsidRPr="00083D82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сельского поселения «</w:t>
      </w:r>
      <w:proofErr w:type="spellStart"/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3A14" w:rsidRPr="00640F8D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8D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640F8D">
        <w:rPr>
          <w:rFonts w:ascii="Times New Roman" w:hAnsi="Times New Roman" w:cs="Times New Roman"/>
          <w:sz w:val="28"/>
          <w:szCs w:val="28"/>
        </w:rPr>
        <w:t>муниципальной</w:t>
      </w:r>
      <w:r w:rsidRPr="00640F8D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4C49F5" w:rsidRDefault="004C49F5" w:rsidP="0064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 </w:t>
      </w:r>
    </w:p>
    <w:p w:rsidR="00640F8D" w:rsidRPr="00640F8D" w:rsidRDefault="004C49F5" w:rsidP="0064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640F8D" w:rsidRPr="00640F8D" w:rsidRDefault="00640F8D" w:rsidP="0064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F8D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запрещается требовать от заявителя:</w:t>
      </w:r>
    </w:p>
    <w:p w:rsidR="00640F8D" w:rsidRPr="00640F8D" w:rsidRDefault="00640F8D" w:rsidP="0064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0F8D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40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услуг».</w:t>
      </w:r>
    </w:p>
    <w:p w:rsidR="00640F8D" w:rsidRPr="00640F8D" w:rsidRDefault="00640F8D" w:rsidP="0064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</w:pP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AF5" w:rsidRDefault="008D4507" w:rsidP="0057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573AF5" w:rsidRPr="00573AF5" w:rsidRDefault="004C49F5" w:rsidP="0057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ыдача уведомления о принятом </w:t>
      </w:r>
      <w:proofErr w:type="gramStart"/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решении</w:t>
      </w:r>
      <w:proofErr w:type="gramEnd"/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передаче муниципального имущества в аренду.</w:t>
      </w:r>
    </w:p>
    <w:p w:rsidR="00573AF5" w:rsidRPr="00573AF5" w:rsidRDefault="004C49F5" w:rsidP="0057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73AF5" w:rsidRPr="00573AF5">
        <w:rPr>
          <w:rFonts w:ascii="Times New Roman" w:eastAsia="Calibri" w:hAnsi="Times New Roman" w:cs="Times New Roman"/>
          <w:sz w:val="28"/>
          <w:szCs w:val="28"/>
          <w:lang w:eastAsia="ru-RU"/>
        </w:rPr>
        <w:t>ыдача уведомления об отказе в предоставлении муниципальной услуги.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B09" w:rsidRDefault="008D4507" w:rsidP="00FE2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FE2B09" w:rsidRPr="00FE2B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составляет:</w:t>
      </w:r>
    </w:p>
    <w:p w:rsidR="00FE2B09" w:rsidRDefault="00FE2B09" w:rsidP="00FE2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проведения торгов -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FE2B09" w:rsidRDefault="00FE2B09" w:rsidP="00FE2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FE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FE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18494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 </w:t>
      </w:r>
    </w:p>
    <w:p w:rsidR="00184942" w:rsidRPr="00083D82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934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7234" w:rsidRDefault="00F441E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C57234" w:rsidRPr="00C5723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 со дня его поступления</w:t>
      </w:r>
      <w:r w:rsidR="00C5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C57234" w:rsidRPr="00C57234">
        <w:rPr>
          <w:rFonts w:ascii="Times New Roman" w:hAnsi="Times New Roman" w:cs="Times New Roman"/>
          <w:sz w:val="28"/>
          <w:szCs w:val="28"/>
        </w:rPr>
        <w:t xml:space="preserve">5 календарных дней </w:t>
      </w:r>
      <w:r w:rsidRPr="00083D82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7919C6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="00245E4B" w:rsidRPr="007919C6">
        <w:rPr>
          <w:rFonts w:ascii="Times New Roman" w:eastAsia="Times New Roman" w:hAnsi="Times New Roman" w:cs="Times New Roman"/>
          <w:sz w:val="28"/>
          <w:szCs w:val="28"/>
        </w:rPr>
        <w:t>(по формам</w:t>
      </w:r>
      <w:r w:rsidR="009F2940" w:rsidRPr="007919C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7919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7919C6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7919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7919C6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7919C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7919C6">
        <w:rPr>
          <w:rFonts w:ascii="Times New Roman" w:eastAsia="Times New Roman" w:hAnsi="Times New Roman" w:cs="Times New Roman"/>
          <w:sz w:val="28"/>
          <w:szCs w:val="28"/>
        </w:rPr>
        <w:t>регламенту)</w:t>
      </w:r>
      <w:r w:rsidR="007919C6" w:rsidRPr="007919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A44" w:rsidRPr="0079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7C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1. С проведением конкурса или аукциона:</w:t>
      </w:r>
    </w:p>
    <w:p w:rsidR="0070787C" w:rsidRDefault="0070787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заявку на участие в конкурсе или аукционе;</w:t>
      </w:r>
    </w:p>
    <w:p w:rsidR="0070787C" w:rsidRDefault="00FE2B09" w:rsidP="007078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787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копию документа, удостоверяющего личность;</w:t>
      </w:r>
    </w:p>
    <w:p w:rsidR="004B339E" w:rsidRPr="0093416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339E"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934162" w:rsidRDefault="004B339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копии учредительных документов (для юридических лиц);</w:t>
      </w:r>
      <w:r w:rsidR="00FE2B09"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</w:t>
      </w:r>
      <w:r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FE2B09" w:rsidRPr="0093416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4162" w:rsidRDefault="009341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34162" w:rsidRDefault="004B339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93416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предложение о цене договора (требуется при проведении торгов в виде конкурса);</w:t>
      </w:r>
    </w:p>
    <w:p w:rsidR="0093416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об условиях исполнения договора, которые являются критериями оценки заявок на участие в конкурсе;</w:t>
      </w:r>
    </w:p>
    <w:p w:rsidR="0093416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93416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 или копии документов, подтверждающих внесение задатка, в случае если в конкурсной документации или документации об 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аукционе содержится указание на требование о внесении задатка (платежное поручение, подтверждающее перечисление задатка);</w:t>
      </w:r>
    </w:p>
    <w:p w:rsidR="00934162" w:rsidRDefault="00934162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 (копию документа), подтверждающий полномочия представителя заявителя.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Без проведения торгов:</w:t>
      </w:r>
    </w:p>
    <w:p w:rsidR="00934162" w:rsidRDefault="00934162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копию документа, удостоверяющего личность заявителя (представителя заявителя);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копию учредительных документов (для юридических лиц);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 (копию документа), подтверждающий полномочия представителя заявителя.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934162" w:rsidRDefault="00934162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2B09"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934162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E2B09" w:rsidRPr="00FE2B09" w:rsidRDefault="00FE2B09" w:rsidP="00934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1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нотариально заверенные копии учредительных документов Заявителя; </w:t>
      </w:r>
    </w:p>
    <w:p w:rsidR="00FE2B09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>Для заявителей, указанных в подпункте 3 пункта 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FE2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FC2366" w:rsidRPr="00083D82" w:rsidRDefault="00FE2B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36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91AC2" w:rsidRPr="0070787C" w:rsidRDefault="008D4507" w:rsidP="007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93416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70787C" w:rsidRPr="00934162">
        <w:rPr>
          <w:rFonts w:ascii="Times New Roman" w:hAnsi="Times New Roman" w:cs="Times New Roman"/>
          <w:sz w:val="28"/>
          <w:szCs w:val="28"/>
        </w:rPr>
        <w:t>.</w:t>
      </w:r>
    </w:p>
    <w:p w:rsidR="009C0C44" w:rsidRPr="00083D82" w:rsidRDefault="009C0C44" w:rsidP="007078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7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B339E" w:rsidRDefault="0070787C" w:rsidP="004B3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юридических лиц;</w:t>
      </w:r>
    </w:p>
    <w:p w:rsidR="004B339E" w:rsidRDefault="0070787C" w:rsidP="004B3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предпринимателей;</w:t>
      </w:r>
    </w:p>
    <w:p w:rsidR="004B339E" w:rsidRDefault="004B339E" w:rsidP="004B3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7C"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4B339E" w:rsidRDefault="004B339E" w:rsidP="004B3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7C"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4B339E" w:rsidRDefault="0070787C" w:rsidP="004B33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4B339E" w:rsidRDefault="0070787C" w:rsidP="003B7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7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(для получ</w:t>
      </w:r>
      <w:r w:rsid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преференции)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B7D1A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35619D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4B339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4B339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4B3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4B339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="0035619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9D">
        <w:rPr>
          <w:rFonts w:ascii="Times New Roman" w:hAnsi="Times New Roman" w:cs="Times New Roman"/>
          <w:sz w:val="28"/>
          <w:szCs w:val="28"/>
        </w:rPr>
        <w:t>2.1</w:t>
      </w:r>
      <w:r w:rsidR="008D4507" w:rsidRPr="0035619D">
        <w:rPr>
          <w:rFonts w:ascii="Times New Roman" w:hAnsi="Times New Roman" w:cs="Times New Roman"/>
          <w:sz w:val="28"/>
          <w:szCs w:val="28"/>
        </w:rPr>
        <w:t>3</w:t>
      </w:r>
      <w:r w:rsidRPr="0035619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35619D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35619D" w:rsidRDefault="0035619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35619D" w:rsidRDefault="0035619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обременение объекта аренды какими-либо обязательствами;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необходимость использования объекта для муниципальных нужд;</w:t>
      </w:r>
    </w:p>
    <w:p w:rsidR="003B7D1A" w:rsidRP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имущество включено в план приватизации либо планируется к использованию для муниципальных нужд и в аренду передаваться не будет;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заявитель не имеет права на заключение договора аренды имущества без проведения торгов;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заявитель не допускается конкурсной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аукционной комиссией к участию в конкурсе или аукционе в случаях: 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непредставления документов, определенных подпунктом 1 пункта 2.</w:t>
      </w:r>
      <w:r w:rsid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наличия в таких документах недостоверных сведений, а также несоответствие заявки на участие в конкурсе или аукционе, определенных пунктами 52 и 121 </w:t>
      </w:r>
      <w:r w:rsidR="003B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проведения конкурсов или аукционов на право заключения договоров аренды, договоров</w:t>
      </w:r>
      <w:proofErr w:type="gramEnd"/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proofErr w:type="gramStart"/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Федеральной антимонопольной службой России от 10.02.2010 № 67 (далее – Правила);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несоответствия требованиям, указанным в пункте 18 Правил;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B7D1A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</w:t>
      </w:r>
      <w:r w:rsidR="00C87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заявки на участие в аукционе;</w:t>
      </w:r>
    </w:p>
    <w:p w:rsidR="008D74B8" w:rsidRDefault="0035619D" w:rsidP="00EA7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5F6" w:rsidRPr="00EA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отказ Федеральной антимонопольной службы в предоставлении муниципальной преференции заявителю, принятый в соответствии с требованиями законодательства.»</w:t>
      </w:r>
      <w:r w:rsidR="001C4E10"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="001C4E10"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="001C4E10"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C4E10"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A75F6" w:rsidRPr="00EA75F6" w:rsidRDefault="00EA75F6" w:rsidP="00EA7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75F6">
        <w:rPr>
          <w:rFonts w:ascii="Times New Roman" w:hAnsi="Times New Roman" w:cs="Times New Roman"/>
          <w:bCs/>
          <w:i/>
          <w:sz w:val="28"/>
          <w:szCs w:val="28"/>
        </w:rPr>
        <w:t xml:space="preserve">подпункт 8 пункта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75F6">
        <w:rPr>
          <w:rFonts w:ascii="Times New Roman" w:hAnsi="Times New Roman" w:cs="Times New Roman"/>
          <w:bCs/>
          <w:i/>
          <w:sz w:val="28"/>
          <w:szCs w:val="28"/>
        </w:rPr>
        <w:t>2.14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14" w:name="_GoBack"/>
      <w:bookmarkEnd w:id="14"/>
      <w:r>
        <w:rPr>
          <w:rFonts w:ascii="Times New Roman" w:hAnsi="Times New Roman" w:cs="Times New Roman"/>
          <w:bCs/>
          <w:i/>
          <w:sz w:val="28"/>
          <w:szCs w:val="28"/>
        </w:rPr>
        <w:t>постановления от 26 марта 2019 г. № 11)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35619D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35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35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35619D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C601D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="00831818"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="00831818"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31818"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="00831818"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3B7D1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1637"/>
        <w:gridCol w:w="2799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35619D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61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61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35619D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19D" w:rsidRPr="0035619D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561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5619D">
        <w:rPr>
          <w:rFonts w:ascii="Times New Roman" w:eastAsia="Calibri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5619D" w:rsidRPr="0035619D" w:rsidRDefault="0035619D" w:rsidP="0035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79"/>
      <w:bookmarkEnd w:id="16"/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356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35619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="00544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AAB" w:rsidRPr="00083D82" w:rsidRDefault="00544AAB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заключение договора.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657E1A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657E1A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657E1A">
        <w:rPr>
          <w:rFonts w:ascii="Times New Roman" w:hAnsi="Times New Roman" w:cs="Times New Roman"/>
          <w:sz w:val="28"/>
          <w:szCs w:val="28"/>
        </w:rPr>
        <w:t>;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657E1A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657E1A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657E1A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657E1A">
        <w:rPr>
          <w:rFonts w:ascii="Times New Roman" w:hAnsi="Times New Roman" w:cs="Times New Roman"/>
          <w:sz w:val="28"/>
          <w:szCs w:val="28"/>
        </w:rPr>
        <w:t xml:space="preserve">тверждающую принятие документов.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657E1A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657E1A">
        <w:rPr>
          <w:rFonts w:ascii="Times New Roman" w:hAnsi="Times New Roman" w:cs="Times New Roman"/>
          <w:sz w:val="28"/>
          <w:szCs w:val="28"/>
        </w:rPr>
        <w:t>(в случае, если заявитель представляет документы, указанные в пункте 2.10 настоящего Административного реглам</w:t>
      </w:r>
      <w:r w:rsidR="00005F25" w:rsidRPr="00657E1A">
        <w:rPr>
          <w:rFonts w:ascii="Times New Roman" w:hAnsi="Times New Roman" w:cs="Times New Roman"/>
          <w:sz w:val="28"/>
          <w:szCs w:val="28"/>
        </w:rPr>
        <w:t>ента по собственной инициативе)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57E1A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657E1A">
        <w:rPr>
          <w:rFonts w:ascii="Times New Roman" w:hAnsi="Times New Roman" w:cs="Times New Roman"/>
          <w:sz w:val="28"/>
          <w:szCs w:val="28"/>
        </w:rPr>
        <w:t>;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</w:t>
      </w:r>
      <w:r w:rsidR="00657E1A">
        <w:rPr>
          <w:rFonts w:ascii="Times New Roman" w:hAnsi="Times New Roman" w:cs="Times New Roman"/>
          <w:sz w:val="28"/>
          <w:szCs w:val="28"/>
        </w:rPr>
        <w:t>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индивидуальным порядковы</w:t>
      </w:r>
      <w:r w:rsidR="00657E1A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657E1A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657E1A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</w:t>
      </w:r>
      <w:r w:rsidR="00657E1A"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083D82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657E1A" w:rsidRPr="00657E1A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657E1A" w:rsidRPr="00657E1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657E1A" w:rsidRPr="00657E1A">
        <w:rPr>
          <w:rFonts w:ascii="Times New Roman" w:hAnsi="Times New Roman" w:cs="Times New Roman"/>
          <w:sz w:val="28"/>
          <w:szCs w:val="28"/>
        </w:rPr>
        <w:t xml:space="preserve"> дня</w:t>
      </w:r>
      <w:r w:rsidR="00657E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40C1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1A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7715C2" w:rsidRPr="00657E1A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657E1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657E1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657E1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657E1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657E1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657E1A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657E1A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1A">
        <w:rPr>
          <w:rFonts w:ascii="Times New Roman" w:hAnsi="Times New Roman" w:cs="Times New Roman"/>
          <w:sz w:val="28"/>
          <w:szCs w:val="28"/>
        </w:rPr>
        <w:t>3.4</w:t>
      </w:r>
      <w:r w:rsidR="009B4B22" w:rsidRPr="00657E1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657E1A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657E1A">
        <w:rPr>
          <w:rFonts w:ascii="Times New Roman" w:hAnsi="Times New Roman" w:cs="Times New Roman"/>
          <w:sz w:val="28"/>
          <w:szCs w:val="28"/>
        </w:rPr>
        <w:t>,</w:t>
      </w:r>
      <w:r w:rsidR="009B4B22" w:rsidRPr="00657E1A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657E1A">
        <w:rPr>
          <w:rFonts w:ascii="Times New Roman" w:hAnsi="Times New Roman" w:cs="Times New Roman"/>
          <w:sz w:val="28"/>
          <w:szCs w:val="28"/>
        </w:rPr>
        <w:t>.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регистрирует межведомственный запрос в соответствующем реестре;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657E1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657E1A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657E1A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 дней</w:t>
      </w:r>
      <w:r w:rsid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657E1A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1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657E1A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657E1A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2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65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="00175FC5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657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4156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одного календарного дня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00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1 календарного дня</w:t>
      </w:r>
      <w:r w:rsidR="00E410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005" w:rsidRPr="003B7D1A">
        <w:rPr>
          <w:rFonts w:ascii="Times New Roman" w:eastAsia="Calibri" w:hAnsi="Times New Roman" w:cs="Times New Roman"/>
          <w:sz w:val="28"/>
          <w:szCs w:val="28"/>
          <w:lang w:eastAsia="ru-RU"/>
        </w:rPr>
        <w:t>2 календарных дней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41005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более:</w:t>
      </w:r>
    </w:p>
    <w:p w:rsidR="00E41005" w:rsidRPr="00E41005" w:rsidRDefault="00E41005" w:rsidP="00C93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- 14 календарных дней</w:t>
      </w:r>
      <w:r w:rsid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376A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комплекта документов, необходимых для предоставления муниципальной услуги 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(без проведения торгов);</w:t>
      </w:r>
    </w:p>
    <w:p w:rsidR="00E41005" w:rsidRPr="00E41005" w:rsidRDefault="00E41005" w:rsidP="00C93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- 24 календарных дней </w:t>
      </w:r>
      <w:r w:rsid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376A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комплекта документов, необходимых для предоставления муниципальной услуги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 проведением конкурса или аукциона) либо 44 календарных дней </w:t>
      </w:r>
      <w:r w:rsidR="00C9376A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 полного комплекта документов, необходимых для предоставления муниципальной услуги</w:t>
      </w:r>
      <w:r w:rsid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</w:t>
      </w:r>
      <w:proofErr w:type="gramEnd"/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присвоен второй номер);</w:t>
      </w:r>
    </w:p>
    <w:p w:rsidR="00C9376A" w:rsidRDefault="00E41005" w:rsidP="003B7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- 14 календарных дней </w:t>
      </w:r>
      <w:r w:rsidR="00C9376A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 полного комплекта документов, необходимых для предоставления муниципальной услуги</w:t>
      </w:r>
      <w:r w:rsid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>(путем получения муниципальной преференции с согласия антимонопольной службы) либо 44 календарных дней (при необходимости продления срока)</w:t>
      </w:r>
      <w:r w:rsidR="003B7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</w:t>
      </w:r>
      <w:r w:rsidRPr="00E41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</w:t>
      </w:r>
      <w:r w:rsidRPr="00E410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484522"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</w:t>
      </w:r>
      <w:r w:rsidR="004F6E30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отказе в предоставлении </w:t>
      </w:r>
      <w:r w:rsidR="00BA1A1B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93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ответственному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C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C93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C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937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C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C9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4AAB" w:rsidRP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4AAB">
        <w:rPr>
          <w:rFonts w:ascii="Times New Roman" w:hAnsi="Times New Roman" w:cs="Times New Roman"/>
          <w:b/>
          <w:sz w:val="28"/>
          <w:szCs w:val="28"/>
        </w:rPr>
        <w:t>Заключение договора</w:t>
      </w:r>
    </w:p>
    <w:p w:rsidR="003B7D1A" w:rsidRDefault="003B7D1A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4AAB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Руководитель Органа, ответственный за принятие решения о предоставлении услуги, в течение одного рабочего дня осуществляет подготовку проекта договора аренды муниципального имущества (далее – проект договора) и направляет его заявителю для подписания.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Заявитель подписывает проект договора и направляет его обратно в Орган.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Руководитель Органа, ответственный за принятие решения о предоставлении услуги, после получения подписанного договора аренды муниципального имущества от заявителя, в течение одного рабочего дня подписывает договор аренды муниципального имущества, проставляет на нем печать и передает его специалисту Органа, ответственному за отправление подписанного договора аренды муниципального имущества заявителю.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Специалист Органа, ответственный за отправление подписанного договора аренды муниципального имущества заявителю, направляет заявителю договор аренды муниципального имущества, один экземпляр передает в архив Органа.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4AAB">
        <w:rPr>
          <w:rFonts w:ascii="Times New Roman" w:hAnsi="Times New Roman" w:cs="Times New Roman"/>
          <w:sz w:val="28"/>
          <w:szCs w:val="28"/>
        </w:rPr>
        <w:t>.1. Критерием принятия решения является подписание проекта договора заявителем.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4AAB">
        <w:rPr>
          <w:rFonts w:ascii="Times New Roman" w:hAnsi="Times New Roman" w:cs="Times New Roman"/>
          <w:sz w:val="28"/>
          <w:szCs w:val="28"/>
        </w:rPr>
        <w:t>.2.Максимальный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услуги.</w:t>
      </w:r>
    </w:p>
    <w:p w:rsid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4AAB">
        <w:rPr>
          <w:rFonts w:ascii="Times New Roman" w:hAnsi="Times New Roman" w:cs="Times New Roman"/>
          <w:sz w:val="28"/>
          <w:szCs w:val="28"/>
        </w:rPr>
        <w:t>.3. Результатом исполнения административной процедуры является заключение договора аренды муниципального имущества.</w:t>
      </w:r>
    </w:p>
    <w:p w:rsidR="00544AAB" w:rsidRPr="00544AAB" w:rsidRDefault="00544AAB" w:rsidP="0054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AA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личной подписью заявителя (либо его представителя) в получении вышеуказанных документов, либо квитанцией о почтовом отправлении, уведомлении о вручении.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</w:t>
      </w:r>
      <w:r w:rsidR="00544AAB">
        <w:rPr>
          <w:rFonts w:ascii="Times New Roman" w:eastAsia="Calibri" w:hAnsi="Times New Roman" w:cs="Times New Roman"/>
          <w:sz w:val="28"/>
          <w:szCs w:val="28"/>
        </w:rPr>
        <w:t>8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544AAB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544AAB">
        <w:rPr>
          <w:rFonts w:ascii="Times New Roman" w:hAnsi="Times New Roman"/>
          <w:sz w:val="28"/>
          <w:szCs w:val="28"/>
        </w:rPr>
        <w:t xml:space="preserve">1 </w:t>
      </w:r>
      <w:r w:rsidR="00544AAB">
        <w:rPr>
          <w:rFonts w:ascii="Times New Roman" w:hAnsi="Times New Roman"/>
          <w:sz w:val="28"/>
          <w:szCs w:val="28"/>
        </w:rPr>
        <w:t>календарного</w:t>
      </w:r>
      <w:r w:rsidR="00E70423" w:rsidRPr="00544AAB">
        <w:rPr>
          <w:rFonts w:ascii="Times New Roman" w:hAnsi="Times New Roman"/>
          <w:sz w:val="28"/>
          <w:szCs w:val="28"/>
        </w:rPr>
        <w:t xml:space="preserve"> дня.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календарного дня;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44AAB" w:rsidRP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календарного дня</w:t>
      </w:r>
      <w:r w:rsidR="0054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544AAB" w:rsidRPr="00544AAB">
        <w:rPr>
          <w:rFonts w:ascii="Times New Roman" w:eastAsia="Calibri" w:hAnsi="Times New Roman" w:cs="Times New Roman"/>
          <w:sz w:val="28"/>
          <w:szCs w:val="28"/>
          <w:lang w:eastAsia="ru-RU"/>
        </w:rPr>
        <w:t>5 календарных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DF4F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44AA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</w:t>
      </w:r>
      <w:r w:rsidR="0096112B"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="00E7042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E70423">
        <w:rPr>
          <w:rFonts w:ascii="Times New Roman" w:hAnsi="Times New Roman" w:cs="Times New Roman"/>
          <w:sz w:val="28"/>
          <w:szCs w:val="28"/>
        </w:rPr>
        <w:t>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8" w:name="Par377"/>
      <w:bookmarkEnd w:id="18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 xml:space="preserve">документов или информации либо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4D5B92">
        <w:rPr>
          <w:rFonts w:ascii="Times New Roman" w:hAnsi="Times New Roman"/>
          <w:sz w:val="28"/>
          <w:szCs w:val="28"/>
        </w:rPr>
        <w:t>Трусово</w:t>
      </w:r>
      <w:proofErr w:type="spellEnd"/>
      <w:r w:rsidR="004D5B92">
        <w:rPr>
          <w:rFonts w:ascii="Times New Roman" w:hAnsi="Times New Roman"/>
          <w:sz w:val="28"/>
          <w:szCs w:val="28"/>
        </w:rPr>
        <w:t>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</w:t>
      </w:r>
      <w:proofErr w:type="spellStart"/>
      <w:r w:rsidR="005F497F"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>, Советом сельского поселения «</w:t>
      </w:r>
      <w:proofErr w:type="spellStart"/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>Трусово</w:t>
      </w:r>
      <w:proofErr w:type="spellEnd"/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мотивированном ответе по результатам рассмотрения жалобы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083D82" w:rsidRDefault="00F1152A" w:rsidP="003B7D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152A" w:rsidRPr="00083D82" w:rsidRDefault="00042AF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</w:t>
      </w:r>
      <w:r w:rsidR="00F1152A" w:rsidRPr="00083D8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1152A" w:rsidRPr="00083D82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B336F" w:rsidRPr="00112232" w:rsidRDefault="00F1152A" w:rsidP="00112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2232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Par1056"/>
      <w:bookmarkStart w:id="23" w:name="Par1097"/>
      <w:bookmarkEnd w:id="22"/>
      <w:bookmarkEnd w:id="23"/>
      <w:r w:rsidR="00112232" w:rsidRPr="00112232">
        <w:rPr>
          <w:rFonts w:ascii="Times New Roman" w:hAnsi="Times New Roman" w:cs="Times New Roman"/>
          <w:sz w:val="28"/>
          <w:szCs w:val="28"/>
        </w:rPr>
        <w:t>«Передача муниципального имущества в аренду»</w:t>
      </w: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3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788"/>
        <w:gridCol w:w="962"/>
        <w:gridCol w:w="4643"/>
      </w:tblGrid>
      <w:tr w:rsidR="00D35DE9" w:rsidRPr="00083D82" w:rsidTr="00D35DE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083D82" w:rsidRDefault="00D35DE9" w:rsidP="00EB7FF1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D35DE9" w:rsidRPr="00083D82" w:rsidTr="00D35DE9">
        <w:tc>
          <w:tcPr>
            <w:tcW w:w="1019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831"/>
        <w:gridCol w:w="285"/>
        <w:gridCol w:w="214"/>
        <w:gridCol w:w="1247"/>
        <w:gridCol w:w="1032"/>
        <w:gridCol w:w="1138"/>
        <w:gridCol w:w="1448"/>
        <w:gridCol w:w="1984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EB7F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EB7F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EB7F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3297D" w:rsidRPr="00083D82" w:rsidRDefault="00E3297D" w:rsidP="00EB7F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3297D" w:rsidRPr="00083D82" w:rsidRDefault="00E3297D" w:rsidP="00112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  <w:r w:rsidR="001122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индивидуального предпринимател</w:t>
            </w:r>
            <w:r w:rsidR="00EB7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6C4400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4A396F" w:rsidRDefault="004A396F" w:rsidP="004A3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96F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1122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39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______________</w:t>
      </w:r>
      <w:r w:rsidR="00112232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4A396F" w:rsidRDefault="004A396F" w:rsidP="004A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4A396F" w:rsidRPr="00112232" w:rsidRDefault="004A396F" w:rsidP="0011223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12232">
        <w:rPr>
          <w:rFonts w:ascii="Times New Roman" w:eastAsia="Calibri" w:hAnsi="Times New Roman" w:cs="Times New Roman"/>
          <w:i/>
          <w:sz w:val="28"/>
          <w:szCs w:val="28"/>
        </w:rPr>
        <w:t>(указать нормативно-правовое основание предоставления муниципальной услуги)</w:t>
      </w:r>
    </w:p>
    <w:p w:rsidR="00112232" w:rsidRDefault="00112232" w:rsidP="004A39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4A396F" w:rsidP="00112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396F">
        <w:rPr>
          <w:rFonts w:ascii="Times New Roman" w:eastAsia="Calibri" w:hAnsi="Times New Roman" w:cs="Times New Roman"/>
          <w:sz w:val="28"/>
          <w:szCs w:val="28"/>
        </w:rPr>
        <w:t>прошу предоставить в аренду муниципальное имущество _________________________________________________________________________________________________________</w:t>
      </w:r>
      <w:r w:rsidR="00112232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A396F" w:rsidRPr="00112232" w:rsidRDefault="004A396F" w:rsidP="0011223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12232">
        <w:rPr>
          <w:rFonts w:ascii="Times New Roman" w:eastAsia="Calibri" w:hAnsi="Times New Roman" w:cs="Times New Roman"/>
          <w:i/>
          <w:sz w:val="28"/>
          <w:szCs w:val="28"/>
        </w:rPr>
        <w:t>(нежилое помещение, здание, строение, сооружение)</w:t>
      </w:r>
    </w:p>
    <w:p w:rsidR="00112232" w:rsidRDefault="00112232" w:rsidP="004A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4A396F" w:rsidP="004A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поадресу</w:t>
      </w:r>
      <w:r w:rsidRPr="004A396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112232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232"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proofErr w:type="spellStart"/>
      <w:r w:rsidR="00112232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Pr="004A396F">
        <w:rPr>
          <w:rFonts w:ascii="Times New Roman" w:eastAsia="Calibri" w:hAnsi="Times New Roman" w:cs="Times New Roman"/>
          <w:sz w:val="28"/>
          <w:szCs w:val="28"/>
        </w:rPr>
        <w:t>_____</w:t>
      </w:r>
      <w:r w:rsidR="00112232">
        <w:rPr>
          <w:rFonts w:ascii="Times New Roman" w:eastAsia="Calibri" w:hAnsi="Times New Roman" w:cs="Times New Roman"/>
          <w:sz w:val="28"/>
          <w:szCs w:val="28"/>
        </w:rPr>
        <w:t>_______</w:t>
      </w:r>
      <w:r w:rsidRPr="004A396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пользовани</w:t>
      </w:r>
      <w:r w:rsidR="00112232">
        <w:rPr>
          <w:rFonts w:ascii="Times New Roman" w:eastAsia="Calibri" w:hAnsi="Times New Roman" w:cs="Times New Roman"/>
          <w:sz w:val="28"/>
          <w:szCs w:val="28"/>
        </w:rPr>
        <w:t>я______________________</w:t>
      </w:r>
    </w:p>
    <w:p w:rsidR="00E3297D" w:rsidRPr="004A396F" w:rsidRDefault="00112232" w:rsidP="00112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4A396F" w:rsidRPr="004A396F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   </w:t>
      </w:r>
      <w:r w:rsidR="004A396F" w:rsidRPr="004A396F">
        <w:rPr>
          <w:rFonts w:ascii="Times New Roman" w:eastAsia="Calibri" w:hAnsi="Times New Roman" w:cs="Times New Roman"/>
          <w:sz w:val="28"/>
          <w:szCs w:val="28"/>
        </w:rPr>
        <w:t>(</w:t>
      </w:r>
      <w:r w:rsidR="004A396F" w:rsidRPr="00112232">
        <w:rPr>
          <w:rFonts w:ascii="Times New Roman" w:eastAsia="Calibri" w:hAnsi="Times New Roman" w:cs="Times New Roman"/>
          <w:i/>
          <w:sz w:val="28"/>
          <w:szCs w:val="28"/>
        </w:rPr>
        <w:t>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97"/>
        <w:gridCol w:w="816"/>
        <w:gridCol w:w="300"/>
        <w:gridCol w:w="1293"/>
        <w:gridCol w:w="165"/>
        <w:gridCol w:w="6"/>
        <w:gridCol w:w="1032"/>
        <w:gridCol w:w="1140"/>
        <w:gridCol w:w="1454"/>
        <w:gridCol w:w="1983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2F44" w:rsidRPr="00083D82" w:rsidRDefault="00D12F44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Pr="00083D82" w:rsidRDefault="00D32A1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FF1" w:rsidRDefault="00EB7FF1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112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FC3076" w:rsidRPr="00083D82">
        <w:rPr>
          <w:rFonts w:ascii="Times New Roman" w:hAnsi="Times New Roman" w:cs="Times New Roman"/>
          <w:sz w:val="28"/>
          <w:szCs w:val="28"/>
        </w:rPr>
        <w:t>2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083D82">
        <w:rPr>
          <w:rFonts w:ascii="Times New Roman" w:hAnsi="Times New Roman" w:cs="Times New Roman"/>
          <w:sz w:val="28"/>
          <w:szCs w:val="28"/>
        </w:rPr>
        <w:t>муниципа</w:t>
      </w:r>
      <w:r w:rsidR="00217EA8" w:rsidRPr="00083D82">
        <w:rPr>
          <w:rFonts w:ascii="Times New Roman" w:hAnsi="Times New Roman" w:cs="Times New Roman"/>
          <w:sz w:val="28"/>
          <w:szCs w:val="28"/>
        </w:rPr>
        <w:t>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2232" w:rsidRPr="00112232" w:rsidRDefault="00112232" w:rsidP="00112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232">
        <w:rPr>
          <w:rFonts w:ascii="Times New Roman" w:hAnsi="Times New Roman" w:cs="Times New Roman"/>
          <w:sz w:val="28"/>
          <w:szCs w:val="28"/>
        </w:rPr>
        <w:t>«Передача муниципального имущества в аренду»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112232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083D82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9674A9" w:rsidRPr="00083D82" w:rsidRDefault="009674A9" w:rsidP="00112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90C" w:rsidRPr="00083D82" w:rsidRDefault="00EC790C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BB2" w:rsidRPr="00083D82" w:rsidRDefault="00784BB2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112232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112232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112232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6C4400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112232" w:rsidRDefault="00112232" w:rsidP="00112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96F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39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___________________________________________</w:t>
      </w:r>
    </w:p>
    <w:p w:rsidR="00112232" w:rsidRDefault="00112232" w:rsidP="00112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112232" w:rsidRPr="00112232" w:rsidRDefault="00112232" w:rsidP="0011223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12232">
        <w:rPr>
          <w:rFonts w:ascii="Times New Roman" w:eastAsia="Calibri" w:hAnsi="Times New Roman" w:cs="Times New Roman"/>
          <w:i/>
          <w:sz w:val="28"/>
          <w:szCs w:val="28"/>
        </w:rPr>
        <w:t>(указать нормативно-правовое основание предоставления муниципальной услуги)</w:t>
      </w:r>
    </w:p>
    <w:p w:rsidR="00112232" w:rsidRDefault="00112232" w:rsidP="00112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112232" w:rsidP="00112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396F">
        <w:rPr>
          <w:rFonts w:ascii="Times New Roman" w:eastAsia="Calibri" w:hAnsi="Times New Roman" w:cs="Times New Roman"/>
          <w:sz w:val="28"/>
          <w:szCs w:val="28"/>
        </w:rPr>
        <w:t>прошу предоставить в аренду муниципальное имущество 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   </w:t>
      </w:r>
    </w:p>
    <w:p w:rsidR="00112232" w:rsidRPr="00112232" w:rsidRDefault="00112232" w:rsidP="0011223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12232">
        <w:rPr>
          <w:rFonts w:ascii="Times New Roman" w:eastAsia="Calibri" w:hAnsi="Times New Roman" w:cs="Times New Roman"/>
          <w:i/>
          <w:sz w:val="28"/>
          <w:szCs w:val="28"/>
        </w:rPr>
        <w:t>(нежилое помещение, здание, строение, сооружение)</w:t>
      </w:r>
    </w:p>
    <w:p w:rsidR="00112232" w:rsidRDefault="00112232" w:rsidP="00112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232" w:rsidRDefault="00112232" w:rsidP="00112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поадресу</w:t>
      </w:r>
      <w:r w:rsidRPr="004A396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Pr="004A396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4A396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4A396F">
        <w:rPr>
          <w:rFonts w:ascii="Times New Roman" w:eastAsia="Calibri" w:hAnsi="Times New Roman" w:cs="Times New Roman"/>
          <w:sz w:val="28"/>
          <w:szCs w:val="28"/>
        </w:rPr>
        <w:t xml:space="preserve"> пользовани</w:t>
      </w:r>
      <w:r>
        <w:rPr>
          <w:rFonts w:ascii="Times New Roman" w:eastAsia="Calibri" w:hAnsi="Times New Roman" w:cs="Times New Roman"/>
          <w:sz w:val="28"/>
          <w:szCs w:val="28"/>
        </w:rPr>
        <w:t>я______________________</w:t>
      </w:r>
    </w:p>
    <w:p w:rsidR="00112232" w:rsidRPr="004A396F" w:rsidRDefault="00112232" w:rsidP="00112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4A396F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   </w:t>
      </w:r>
      <w:r w:rsidRPr="004A396F">
        <w:rPr>
          <w:rFonts w:ascii="Times New Roman" w:eastAsia="Calibri" w:hAnsi="Times New Roman" w:cs="Times New Roman"/>
          <w:sz w:val="28"/>
          <w:szCs w:val="28"/>
        </w:rPr>
        <w:t>(</w:t>
      </w:r>
      <w:r w:rsidRPr="00112232">
        <w:rPr>
          <w:rFonts w:ascii="Times New Roman" w:eastAsia="Calibri" w:hAnsi="Times New Roman" w:cs="Times New Roman"/>
          <w:i/>
          <w:sz w:val="28"/>
          <w:szCs w:val="28"/>
        </w:rPr>
        <w:t>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12232" w:rsidRPr="00083D82" w:rsidTr="00250F10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2232" w:rsidRPr="00083D82" w:rsidRDefault="00112232" w:rsidP="00250F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112232" w:rsidRPr="00083D82" w:rsidTr="00250F10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2232" w:rsidRPr="00083D82" w:rsidRDefault="00112232" w:rsidP="00250F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232" w:rsidRPr="00083D82" w:rsidTr="00250F10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2232" w:rsidRPr="00083D82" w:rsidRDefault="00112232" w:rsidP="00250F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97"/>
        <w:gridCol w:w="805"/>
        <w:gridCol w:w="304"/>
        <w:gridCol w:w="1296"/>
        <w:gridCol w:w="165"/>
        <w:gridCol w:w="6"/>
        <w:gridCol w:w="1032"/>
        <w:gridCol w:w="1140"/>
        <w:gridCol w:w="1455"/>
        <w:gridCol w:w="1986"/>
      </w:tblGrid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083D82" w:rsidTr="009F2107">
        <w:tc>
          <w:tcPr>
            <w:tcW w:w="3190" w:type="dxa"/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74A9" w:rsidRPr="0052591A" w:rsidTr="009F2107">
        <w:tc>
          <w:tcPr>
            <w:tcW w:w="3190" w:type="dxa"/>
          </w:tcPr>
          <w:p w:rsidR="009674A9" w:rsidRPr="00083D82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83D82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52591A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52591A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1122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36" w:rsidRDefault="00160C36" w:rsidP="00A0409E">
      <w:pPr>
        <w:spacing w:after="0" w:line="240" w:lineRule="auto"/>
      </w:pPr>
      <w:r>
        <w:separator/>
      </w:r>
    </w:p>
  </w:endnote>
  <w:endnote w:type="continuationSeparator" w:id="0">
    <w:p w:rsidR="00160C36" w:rsidRDefault="00160C36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36" w:rsidRDefault="00160C36" w:rsidP="00A0409E">
      <w:pPr>
        <w:spacing w:after="0" w:line="240" w:lineRule="auto"/>
      </w:pPr>
      <w:r>
        <w:separator/>
      </w:r>
    </w:p>
  </w:footnote>
  <w:footnote w:type="continuationSeparator" w:id="0">
    <w:p w:rsidR="00160C36" w:rsidRDefault="00160C36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17D4"/>
    <w:rsid w:val="0003370B"/>
    <w:rsid w:val="00034156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32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0C36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0F10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619D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B7D1A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0511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96F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39E"/>
    <w:rsid w:val="004B6D3C"/>
    <w:rsid w:val="004B6EF5"/>
    <w:rsid w:val="004C1493"/>
    <w:rsid w:val="004C27B8"/>
    <w:rsid w:val="004C3D0A"/>
    <w:rsid w:val="004C49F5"/>
    <w:rsid w:val="004C5080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4F719D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4AAB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3AF5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97F"/>
    <w:rsid w:val="005F5920"/>
    <w:rsid w:val="005F715A"/>
    <w:rsid w:val="00600096"/>
    <w:rsid w:val="00600136"/>
    <w:rsid w:val="00601764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0F8D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5257"/>
    <w:rsid w:val="00657BB0"/>
    <w:rsid w:val="00657D6F"/>
    <w:rsid w:val="00657E1A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4169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0787C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5C6C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19C6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61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162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1F0C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234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87F77"/>
    <w:rsid w:val="00C926D1"/>
    <w:rsid w:val="00C9376A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4F4C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1005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5F6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B7FF1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B09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41C6805226F6B2083B175267790619FF19F6A7D782B32C2632033B7864457837G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E717-0B4A-48F8-A0A2-F4093E7D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42</Pages>
  <Words>12223</Words>
  <Characters>69674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17</cp:revision>
  <cp:lastPrinted>2019-03-18T09:52:00Z</cp:lastPrinted>
  <dcterms:created xsi:type="dcterms:W3CDTF">2018-11-27T13:11:00Z</dcterms:created>
  <dcterms:modified xsi:type="dcterms:W3CDTF">2019-03-27T13:49:00Z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